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8C3" w:rsidRDefault="000518C3" w:rsidP="000518C3">
      <w:pPr>
        <w:pStyle w:val="a8"/>
        <w:kinsoku w:val="0"/>
        <w:overflowPunct w:val="0"/>
        <w:spacing w:before="0" w:line="431" w:lineRule="exact"/>
        <w:ind w:left="675"/>
        <w:rPr>
          <w:rFonts w:ascii="黑体" w:eastAsia="黑体" w:cs="黑体"/>
          <w:b/>
          <w:bCs/>
          <w:w w:val="95"/>
          <w:sz w:val="36"/>
          <w:szCs w:val="36"/>
        </w:rPr>
      </w:pPr>
      <w:r>
        <w:rPr>
          <w:rFonts w:ascii="黑体" w:eastAsia="黑体" w:cs="黑体" w:hint="eastAsia"/>
          <w:b/>
          <w:bCs/>
          <w:w w:val="95"/>
          <w:sz w:val="36"/>
          <w:szCs w:val="36"/>
        </w:rPr>
        <w:t>武汉理工大学硕士生入学考试自命题科目考试大纲</w:t>
      </w:r>
    </w:p>
    <w:p w:rsidR="000518C3" w:rsidRDefault="000518C3" w:rsidP="00650DC9">
      <w:pPr>
        <w:pStyle w:val="Default"/>
        <w:jc w:val="center"/>
        <w:rPr>
          <w:rFonts w:ascii="宋体....." w:eastAsia="宋体....." w:cs="宋体....."/>
          <w:sz w:val="23"/>
          <w:szCs w:val="23"/>
        </w:rPr>
      </w:pPr>
    </w:p>
    <w:p w:rsidR="00650DC9" w:rsidRDefault="00650DC9" w:rsidP="00650DC9">
      <w:pPr>
        <w:pStyle w:val="Default"/>
        <w:jc w:val="center"/>
        <w:rPr>
          <w:rFonts w:ascii="宋体....." w:eastAsia="宋体....." w:hAnsi="Times New Roman" w:cs="宋体....." w:hint="eastAsia"/>
          <w:sz w:val="23"/>
          <w:szCs w:val="23"/>
        </w:rPr>
      </w:pPr>
      <w:r>
        <w:rPr>
          <w:rFonts w:ascii="宋体....." w:eastAsia="宋体....." w:cs="宋体....." w:hint="eastAsia"/>
          <w:sz w:val="23"/>
          <w:szCs w:val="23"/>
        </w:rPr>
        <w:t>科目代码</w:t>
      </w:r>
      <w:r>
        <w:rPr>
          <w:rFonts w:ascii="Times New Roman" w:eastAsia="宋体....." w:hAnsi="Times New Roman" w:cs="Times New Roman"/>
          <w:b/>
          <w:bCs/>
          <w:sz w:val="23"/>
          <w:szCs w:val="23"/>
        </w:rPr>
        <w:t>:100700</w:t>
      </w:r>
      <w:r>
        <w:rPr>
          <w:rFonts w:ascii="Times New Roman" w:eastAsia="宋体....." w:hAnsi="Times New Roman" w:cs="Times New Roman" w:hint="eastAsia"/>
          <w:b/>
          <w:bCs/>
          <w:sz w:val="23"/>
          <w:szCs w:val="23"/>
        </w:rPr>
        <w:t>、</w:t>
      </w:r>
      <w:r>
        <w:rPr>
          <w:rFonts w:ascii="Times New Roman" w:eastAsia="宋体....." w:hAnsi="Times New Roman" w:cs="Times New Roman" w:hint="eastAsia"/>
          <w:b/>
          <w:bCs/>
          <w:sz w:val="23"/>
          <w:szCs w:val="23"/>
        </w:rPr>
        <w:t>1</w:t>
      </w:r>
      <w:r>
        <w:rPr>
          <w:rFonts w:ascii="Times New Roman" w:eastAsia="宋体....." w:hAnsi="Times New Roman" w:cs="Times New Roman"/>
          <w:b/>
          <w:bCs/>
          <w:sz w:val="23"/>
          <w:szCs w:val="23"/>
        </w:rPr>
        <w:t xml:space="preserve">05500 </w:t>
      </w:r>
      <w:r>
        <w:rPr>
          <w:rFonts w:ascii="宋体....." w:eastAsia="宋体....." w:hAnsi="Times New Roman" w:cs="宋体....." w:hint="eastAsia"/>
          <w:sz w:val="23"/>
          <w:szCs w:val="23"/>
        </w:rPr>
        <w:t>科目名称</w:t>
      </w:r>
      <w:r>
        <w:rPr>
          <w:rFonts w:ascii="Times New Roman" w:eastAsia="宋体....." w:hAnsi="Times New Roman" w:cs="Times New Roman"/>
          <w:b/>
          <w:bCs/>
          <w:sz w:val="23"/>
          <w:szCs w:val="23"/>
        </w:rPr>
        <w:t xml:space="preserve">: </w:t>
      </w:r>
      <w:r w:rsidR="009728F7">
        <w:rPr>
          <w:rFonts w:ascii="宋体" w:eastAsia="宋体" w:hAnsi="宋体" w:cs="宋体"/>
          <w:b/>
          <w:bCs/>
        </w:rPr>
        <w:t>药学综合</w:t>
      </w:r>
    </w:p>
    <w:p w:rsidR="00D16D64" w:rsidRPr="00650DC9" w:rsidRDefault="00D16D64">
      <w:pPr>
        <w:widowControl/>
        <w:spacing w:line="375" w:lineRule="atLeast"/>
        <w:rPr>
          <w:rFonts w:ascii="宋体" w:eastAsia="宋体" w:hAnsi="宋体" w:cs="宋体"/>
          <w:color w:val="000000"/>
          <w:kern w:val="0"/>
          <w:szCs w:val="21"/>
        </w:rPr>
      </w:pPr>
    </w:p>
    <w:p w:rsidR="00D16D64" w:rsidRDefault="00C11C3F">
      <w:pPr>
        <w:widowControl/>
        <w:spacing w:line="375" w:lineRule="atLeas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b/>
          <w:bCs/>
          <w:color w:val="000000"/>
          <w:kern w:val="0"/>
          <w:szCs w:val="21"/>
        </w:rPr>
        <w:t>一、考试形式与试卷结构</w:t>
      </w:r>
    </w:p>
    <w:p w:rsidR="00D16D64" w:rsidRDefault="00C11C3F" w:rsidP="000518C3">
      <w:pPr>
        <w:widowControl/>
        <w:spacing w:line="375" w:lineRule="atLeas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药学综合试题，总分300分。考试涉及三门课程，内容和分值比</w:t>
      </w:r>
      <w:bookmarkStart w:id="0" w:name="_GoBack"/>
      <w:bookmarkEnd w:id="0"/>
      <w:r>
        <w:rPr>
          <w:rFonts w:ascii="宋体" w:eastAsia="宋体" w:hAnsi="宋体" w:cs="宋体"/>
          <w:color w:val="000000"/>
          <w:kern w:val="0"/>
          <w:szCs w:val="21"/>
        </w:rPr>
        <w:t>例分别为有机化学（1/3）、分析化学（1/3）、药物分析（1/3）。</w:t>
      </w:r>
    </w:p>
    <w:p w:rsidR="00D16D64" w:rsidRDefault="00C11C3F">
      <w:pPr>
        <w:widowControl/>
        <w:spacing w:line="375" w:lineRule="atLeas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b/>
          <w:bCs/>
          <w:color w:val="000000"/>
          <w:kern w:val="0"/>
          <w:szCs w:val="21"/>
        </w:rPr>
        <w:t>二、考查要点</w:t>
      </w:r>
    </w:p>
    <w:p w:rsidR="00D16D64" w:rsidRDefault="00C11C3F">
      <w:pPr>
        <w:widowControl/>
        <w:spacing w:line="375" w:lineRule="atLeas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b/>
          <w:bCs/>
          <w:color w:val="000000"/>
          <w:kern w:val="0"/>
          <w:szCs w:val="21"/>
        </w:rPr>
        <w:t>（一）有机化学</w:t>
      </w:r>
    </w:p>
    <w:p w:rsidR="00D16D64" w:rsidRDefault="00C11C3F" w:rsidP="000518C3">
      <w:pPr>
        <w:widowControl/>
        <w:spacing w:line="375" w:lineRule="atLeas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1、绪论</w:t>
      </w:r>
    </w:p>
    <w:p w:rsidR="00D16D64" w:rsidRDefault="00C11C3F">
      <w:pPr>
        <w:widowControl/>
        <w:spacing w:line="375" w:lineRule="atLeas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有机化学和有机化合物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共价键的基本性质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研究有机化合物的基本方法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有机化合物的分类等。</w:t>
      </w:r>
    </w:p>
    <w:p w:rsidR="00D16D64" w:rsidRDefault="00C11C3F" w:rsidP="000518C3">
      <w:pPr>
        <w:widowControl/>
        <w:spacing w:line="375" w:lineRule="atLeas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2、烷烃</w:t>
      </w:r>
    </w:p>
    <w:p w:rsidR="00D16D64" w:rsidRDefault="00C11C3F">
      <w:pPr>
        <w:widowControl/>
        <w:spacing w:line="375" w:lineRule="atLeas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烷烃的异构与命名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烷烃的构型与构象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烷烃的物理性质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烷烃的化学性质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卤代反应的机理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自由基的稳定性。</w:t>
      </w:r>
    </w:p>
    <w:p w:rsidR="00D16D64" w:rsidRDefault="00C11C3F" w:rsidP="000518C3">
      <w:pPr>
        <w:widowControl/>
        <w:spacing w:line="375" w:lineRule="atLeas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3、环烷烃</w:t>
      </w:r>
    </w:p>
    <w:p w:rsidR="00D16D64" w:rsidRDefault="00C11C3F">
      <w:pPr>
        <w:widowControl/>
        <w:spacing w:line="375" w:lineRule="atLeas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环烷烃的命名与异构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环烷烃的物理与化学性质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环烷烃的构象及构象分析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多环烃。</w:t>
      </w:r>
    </w:p>
    <w:p w:rsidR="00D16D64" w:rsidRDefault="00C11C3F" w:rsidP="000518C3">
      <w:pPr>
        <w:widowControl/>
        <w:spacing w:line="375" w:lineRule="atLeas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4、对映异构</w:t>
      </w:r>
    </w:p>
    <w:p w:rsidR="00D16D64" w:rsidRDefault="00C11C3F">
      <w:pPr>
        <w:widowControl/>
        <w:spacing w:line="375" w:lineRule="atLeas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旋光性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手性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分子的手性与对称性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含一个不对称碳原子的化合物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含几个不对称碳原子的开链化合物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碳环化合物的立体异构。</w:t>
      </w:r>
    </w:p>
    <w:p w:rsidR="00D16D64" w:rsidRDefault="00C11C3F" w:rsidP="000518C3">
      <w:pPr>
        <w:widowControl/>
        <w:spacing w:line="375" w:lineRule="atLeas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5、卤代烷</w:t>
      </w:r>
    </w:p>
    <w:p w:rsidR="00D16D64" w:rsidRDefault="00C11C3F">
      <w:pPr>
        <w:widowControl/>
        <w:spacing w:line="375" w:lineRule="atLeas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卤代烷的命名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一卤代烷的结构和物理性质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一卤代烷的化学性质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亲核取代反应机理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一卤代烷的制法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有机金属化合物。</w:t>
      </w:r>
    </w:p>
    <w:p w:rsidR="00D16D64" w:rsidRDefault="00C11C3F" w:rsidP="000518C3">
      <w:pPr>
        <w:widowControl/>
        <w:spacing w:line="375" w:lineRule="atLeas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6、烯烃</w:t>
      </w:r>
    </w:p>
    <w:p w:rsidR="00D16D64" w:rsidRDefault="00C11C3F">
      <w:pPr>
        <w:widowControl/>
        <w:spacing w:line="375" w:lineRule="atLeas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烯烃的结构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/>
          <w:color w:val="000000"/>
          <w:kern w:val="0"/>
          <w:szCs w:val="21"/>
        </w:rPr>
        <w:t>异构和命名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烯烃的制法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除</w:t>
      </w:r>
      <w:r>
        <w:rPr>
          <w:rFonts w:ascii="宋体" w:eastAsia="宋体" w:hAnsi="宋体" w:cs="宋体"/>
          <w:color w:val="000000"/>
          <w:kern w:val="0"/>
          <w:szCs w:val="21"/>
        </w:rPr>
        <w:t>反应机理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烯烃的物理性质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烯烃的化学性质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亲电加成反应机理，碳正离子的稳定性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烯烃的来源和用途。</w:t>
      </w:r>
    </w:p>
    <w:p w:rsidR="00D16D64" w:rsidRDefault="00C11C3F" w:rsidP="000518C3">
      <w:pPr>
        <w:widowControl/>
        <w:spacing w:line="375" w:lineRule="atLeas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7、炔烃和二烯烃</w:t>
      </w:r>
    </w:p>
    <w:p w:rsidR="00D16D64" w:rsidRDefault="00C11C3F">
      <w:pPr>
        <w:widowControl/>
        <w:spacing w:line="375" w:lineRule="atLeas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炔烃的结构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异构和物理性质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炔烃的化学反应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炔烃的制法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共轭作用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超共轭作用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</w:p>
    <w:p w:rsidR="00D16D64" w:rsidRDefault="00C11C3F">
      <w:pPr>
        <w:widowControl/>
        <w:spacing w:line="375" w:lineRule="atLeas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共轭二烯烃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累积二烯烃。</w:t>
      </w:r>
    </w:p>
    <w:p w:rsidR="00D16D64" w:rsidRDefault="00C11C3F" w:rsidP="000518C3">
      <w:pPr>
        <w:widowControl/>
        <w:spacing w:line="375" w:lineRule="atLeas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8、芳烃</w:t>
      </w:r>
    </w:p>
    <w:p w:rsidR="00D16D64" w:rsidRDefault="00C11C3F">
      <w:pPr>
        <w:widowControl/>
        <w:spacing w:line="375" w:lineRule="atLeas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苯的结构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共振论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苯衍生物的异构、命名及物理性质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苯环上的亲电取代反应及机理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苯环上亲电取代反应的定位规律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多环芳烃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卤代芳烃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休克尔规律。</w:t>
      </w:r>
    </w:p>
    <w:p w:rsidR="00D16D64" w:rsidRDefault="00C11C3F" w:rsidP="000518C3">
      <w:pPr>
        <w:widowControl/>
        <w:spacing w:line="375" w:lineRule="atLeas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9、醇、酚、醚</w:t>
      </w:r>
    </w:p>
    <w:p w:rsidR="00D16D64" w:rsidRDefault="00C11C3F">
      <w:pPr>
        <w:widowControl/>
        <w:spacing w:line="375" w:lineRule="atLeas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醇的结构、命名和物理性质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一元醇的反应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一元醇的制法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二元醇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及</w:t>
      </w:r>
      <w:r>
        <w:rPr>
          <w:rFonts w:ascii="宋体" w:eastAsia="宋体" w:hAnsi="宋体" w:cs="宋体"/>
          <w:color w:val="000000"/>
          <w:kern w:val="0"/>
          <w:szCs w:val="21"/>
        </w:rPr>
        <w:t>酚的结构、命名和物理性质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一元酚的反应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二元酚和多元酚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醚的结构、命名和物理性质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醚的反应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醚的制法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环醚。</w:t>
      </w:r>
    </w:p>
    <w:p w:rsidR="00D16D64" w:rsidRDefault="00C11C3F" w:rsidP="000518C3">
      <w:pPr>
        <w:widowControl/>
        <w:spacing w:line="375" w:lineRule="atLeas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10、醛、酮、醌</w:t>
      </w:r>
    </w:p>
    <w:p w:rsidR="00D16D64" w:rsidRDefault="00C11C3F">
      <w:pPr>
        <w:widowControl/>
        <w:spacing w:line="375" w:lineRule="atLeas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lastRenderedPageBreak/>
        <w:t>一元醛酮的结构、命名和物理性质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醛酮的亲核加成反应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醛酮的亲核加成反应机理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醛酮的氧化和还原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一元醛酮的制法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醛酮的来源和用途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α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, 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β</w:t>
      </w:r>
      <w:r>
        <w:rPr>
          <w:rFonts w:ascii="宋体" w:eastAsia="宋体" w:hAnsi="宋体" w:cs="宋体"/>
          <w:color w:val="000000"/>
          <w:kern w:val="0"/>
          <w:szCs w:val="21"/>
        </w:rPr>
        <w:t>-不饱和醛酮、醌。</w:t>
      </w:r>
    </w:p>
    <w:p w:rsidR="00D16D64" w:rsidRDefault="00C11C3F" w:rsidP="000518C3">
      <w:pPr>
        <w:widowControl/>
        <w:spacing w:line="375" w:lineRule="atLeas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11、羧酸</w:t>
      </w:r>
    </w:p>
    <w:p w:rsidR="00D16D64" w:rsidRDefault="00C11C3F">
      <w:pPr>
        <w:widowControl/>
        <w:spacing w:line="375" w:lineRule="atLeas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一元羧酸的结构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命名和物理性质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一元羧酸的反应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一元羧酸的制法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二元羧酸。</w:t>
      </w:r>
    </w:p>
    <w:p w:rsidR="00D16D64" w:rsidRDefault="00C11C3F" w:rsidP="000518C3">
      <w:pPr>
        <w:widowControl/>
        <w:spacing w:line="375" w:lineRule="atLeas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12、羧酸衍生物</w:t>
      </w:r>
    </w:p>
    <w:p w:rsidR="00D16D64" w:rsidRDefault="00C11C3F">
      <w:pPr>
        <w:widowControl/>
        <w:spacing w:line="375" w:lineRule="atLeas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羧酸衍生物的结构和命名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羧酸衍生物的物理性质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酯水解反应机理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羧酸衍生物的反应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羧酸衍生物的用途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不饱和羧酸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取代羧酸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乙酰乙酸乙酯和丙二酸二乙酯及其在有机合成中的应用。</w:t>
      </w:r>
    </w:p>
    <w:p w:rsidR="00D16D64" w:rsidRDefault="00C11C3F" w:rsidP="000518C3">
      <w:pPr>
        <w:widowControl/>
        <w:spacing w:line="375" w:lineRule="atLeas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13、含氮化合物</w:t>
      </w:r>
    </w:p>
    <w:p w:rsidR="00D16D64" w:rsidRDefault="00C11C3F">
      <w:pPr>
        <w:widowControl/>
        <w:spacing w:line="375" w:lineRule="atLeas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硝基化合物的结构和命名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硝基化合物的性质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硝基化合物的制备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胺的结构、命名和物理性质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胺的化学性质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胺的制法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芳香族重氮化反应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芳香族重氮盐的性质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分子重排。</w:t>
      </w:r>
    </w:p>
    <w:p w:rsidR="00D16D64" w:rsidRDefault="00C11C3F" w:rsidP="000518C3">
      <w:pPr>
        <w:widowControl/>
        <w:spacing w:line="375" w:lineRule="atLeas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14、碳水化合物</w:t>
      </w:r>
    </w:p>
    <w:p w:rsidR="00D16D64" w:rsidRDefault="00C11C3F">
      <w:pPr>
        <w:widowControl/>
        <w:spacing w:line="375" w:lineRule="atLeas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单糖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双糖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多糖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糖的衍生物。</w:t>
      </w:r>
    </w:p>
    <w:p w:rsidR="00D16D64" w:rsidRDefault="000518C3" w:rsidP="000518C3">
      <w:pPr>
        <w:widowControl/>
        <w:spacing w:line="375" w:lineRule="atLeas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  15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C11C3F">
        <w:rPr>
          <w:rFonts w:ascii="宋体" w:eastAsia="宋体" w:hAnsi="宋体" w:cs="宋体" w:hint="eastAsia"/>
          <w:kern w:val="0"/>
          <w:szCs w:val="21"/>
        </w:rPr>
        <w:t>杂环化合物</w:t>
      </w:r>
    </w:p>
    <w:p w:rsidR="00D16D64" w:rsidRDefault="00C11C3F">
      <w:pPr>
        <w:widowControl/>
        <w:spacing w:line="375" w:lineRule="atLeas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杂环化合物的结构和命名，杂环化合物的合成</w:t>
      </w:r>
    </w:p>
    <w:p w:rsidR="00D16D64" w:rsidRDefault="00C11C3F" w:rsidP="000518C3">
      <w:pPr>
        <w:widowControl/>
        <w:spacing w:line="375" w:lineRule="atLeas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6</w:t>
      </w:r>
      <w:r>
        <w:rPr>
          <w:rFonts w:ascii="宋体" w:eastAsia="宋体" w:hAnsi="宋体" w:cs="宋体"/>
          <w:color w:val="000000"/>
          <w:kern w:val="0"/>
          <w:szCs w:val="21"/>
        </w:rPr>
        <w:t>、有机波谱分析（UV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IR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  <w:vertAlign w:val="superscript"/>
        </w:rPr>
        <w:t>1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H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NMR，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  <w:vertAlign w:val="superscript"/>
        </w:rPr>
        <w:t>13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C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NMR和MS等）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D16D64" w:rsidRDefault="00D16D64">
      <w:pPr>
        <w:widowControl/>
        <w:spacing w:line="375" w:lineRule="atLeast"/>
        <w:rPr>
          <w:rFonts w:ascii="宋体" w:eastAsia="宋体" w:hAnsi="宋体" w:cs="宋体"/>
          <w:color w:val="000000"/>
          <w:kern w:val="0"/>
          <w:szCs w:val="21"/>
        </w:rPr>
      </w:pPr>
    </w:p>
    <w:p w:rsidR="00D16D64" w:rsidRDefault="00C11C3F">
      <w:pPr>
        <w:widowControl/>
        <w:spacing w:line="375" w:lineRule="atLeas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b/>
          <w:bCs/>
          <w:color w:val="000000"/>
          <w:kern w:val="0"/>
          <w:szCs w:val="21"/>
        </w:rPr>
        <w:t>（二）分析化学</w:t>
      </w:r>
    </w:p>
    <w:p w:rsidR="00D16D64" w:rsidRDefault="00C11C3F" w:rsidP="000518C3">
      <w:pPr>
        <w:widowControl/>
        <w:spacing w:line="375" w:lineRule="atLeas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1、误差及分析数据的统计处理</w:t>
      </w:r>
    </w:p>
    <w:p w:rsidR="00D16D64" w:rsidRDefault="00C11C3F">
      <w:pPr>
        <w:widowControl/>
        <w:spacing w:line="375" w:lineRule="atLeas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与误差有关的基本概念：准确度与误差，精密度与偏差，系统误差与偶然误差；提高分析结果准确度的方法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>
        <w:rPr>
          <w:rFonts w:ascii="宋体" w:eastAsia="宋体" w:hAnsi="宋体" w:cs="宋体"/>
          <w:color w:val="000000"/>
          <w:kern w:val="0"/>
          <w:szCs w:val="21"/>
        </w:rPr>
        <w:t>有效数字及其运算法则。</w:t>
      </w:r>
    </w:p>
    <w:p w:rsidR="00D16D64" w:rsidRDefault="00C11C3F">
      <w:pPr>
        <w:widowControl/>
        <w:spacing w:line="375" w:lineRule="atLeas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基本统计概念：偶然误差的正态分布和t分布，平均值的精密度和置信区间，显著性检验，可疑数据的取舍，相关与回归。</w:t>
      </w:r>
    </w:p>
    <w:p w:rsidR="00D16D64" w:rsidRDefault="00C11C3F" w:rsidP="000518C3">
      <w:pPr>
        <w:widowControl/>
        <w:spacing w:line="375" w:lineRule="atLeas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2、滴定分析</w:t>
      </w:r>
    </w:p>
    <w:p w:rsidR="00D16D64" w:rsidRDefault="00C11C3F">
      <w:pPr>
        <w:widowControl/>
        <w:spacing w:line="375" w:lineRule="atLeas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滴定反应必须具备的条件；标准溶液及其浓度表示方法；滴定分析法中的有关计算。</w:t>
      </w:r>
    </w:p>
    <w:p w:rsidR="00D16D64" w:rsidRDefault="00C11C3F">
      <w:pPr>
        <w:widowControl/>
        <w:spacing w:line="375" w:lineRule="atLeas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各类滴定分析方法的基本概念和基本计算（滴定分析的特点、滴定曲线、指示剂、滴定误差计算公式、滴定分析中的计量关系、标准溶液的浓度和滴定度有关的计算、待测物质的质量和质量分数的计算）；标准溶液和基准物质。</w:t>
      </w:r>
    </w:p>
    <w:p w:rsidR="00D16D64" w:rsidRDefault="00C11C3F" w:rsidP="000518C3">
      <w:pPr>
        <w:widowControl/>
        <w:spacing w:line="375" w:lineRule="atLeas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3、酸碱滴定法</w:t>
      </w:r>
    </w:p>
    <w:p w:rsidR="00D16D64" w:rsidRDefault="00C11C3F">
      <w:pPr>
        <w:widowControl/>
        <w:spacing w:line="375" w:lineRule="atLeas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水溶液中弱酸各型体的分布和分布系数；各种类型溶液pH值的计算；酸碱指示剂的变色原理；指示剂的变色范围及其影响因素；指示剂的选择原则；强酸（碱）、一元弱酸（碱）、多元酸（碱）的滴定曲线特征，及影响滴定突跃范围的因素；一元弱酸（碱）、多元酸（碱）能否准确滴定可行性的判断；强酸（碱）、一元弱酸（碱）滴定终点误差的计算；酸碱标准溶液的配制与标定；直接或间接测定原理及测定结果的计算。非水溶液中酸碱滴定法基本原理：溶剂的分类，溶剂的性质（离解性、酸碱性、极性、均化效应和区分效应），溶剂的选择，非水溶液中碱的滴定。</w:t>
      </w:r>
    </w:p>
    <w:p w:rsidR="00D16D64" w:rsidRDefault="00C11C3F" w:rsidP="000518C3">
      <w:pPr>
        <w:widowControl/>
        <w:spacing w:line="375" w:lineRule="atLeas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4、配位滴定法</w:t>
      </w:r>
    </w:p>
    <w:p w:rsidR="00D16D64" w:rsidRDefault="00C11C3F">
      <w:pPr>
        <w:widowControl/>
        <w:spacing w:line="375" w:lineRule="atLeas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lastRenderedPageBreak/>
        <w:t>配合物各型体的分布和分布系数；配位平衡，配位滴定曲线，金属指示剂，标准溶液的配制和标定，配位滴定的终点误差，配位滴定中酸度的选择和控制，提高配位滴定的选择性，配位滴定方式。</w:t>
      </w:r>
    </w:p>
    <w:p w:rsidR="00D16D64" w:rsidRDefault="00C11C3F" w:rsidP="000518C3">
      <w:pPr>
        <w:widowControl/>
        <w:spacing w:line="375" w:lineRule="atLeas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5、氧化还原滴定法</w:t>
      </w:r>
    </w:p>
    <w:p w:rsidR="00D16D64" w:rsidRDefault="00C11C3F">
      <w:pPr>
        <w:widowControl/>
        <w:spacing w:line="375" w:lineRule="atLeas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氧化还原反应及特点；条件电位及其影响因素；氧化还原反应进行程度的判断；影响氧化还原反应速度的因素；氧化还原滴定曲线及其特点、指示剂及应用；碘量法、高锰酸钾法、亚硝酸钠法的基本原理、指示剂、标准溶液的配制与标定；溴酸钾法和溴量法。</w:t>
      </w:r>
    </w:p>
    <w:p w:rsidR="00D16D64" w:rsidRDefault="00C11C3F" w:rsidP="000518C3">
      <w:pPr>
        <w:widowControl/>
        <w:spacing w:line="375" w:lineRule="atLeas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6、重量分析法和沉淀滴定法</w:t>
      </w:r>
    </w:p>
    <w:p w:rsidR="00D16D64" w:rsidRDefault="00C11C3F">
      <w:pPr>
        <w:widowControl/>
        <w:spacing w:line="375" w:lineRule="atLeas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银量法指示终点方法：铬酸钾指示剂法、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>铁胺钒指示剂法和吸附指示剂法。重量分析法分类；基本概念：沉淀法、挥发法、沉淀形式、称量形式、溶度积和溶解度；影响沉淀溶解度、沉淀纯度的因素；沉淀条件的选择；称量形式与分析结果的计算。</w:t>
      </w:r>
    </w:p>
    <w:p w:rsidR="00D16D64" w:rsidRDefault="00C11C3F" w:rsidP="000518C3">
      <w:pPr>
        <w:widowControl/>
        <w:spacing w:line="375" w:lineRule="atLeas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7、电位分析法</w:t>
      </w:r>
    </w:p>
    <w:p w:rsidR="00D16D64" w:rsidRDefault="00C11C3F">
      <w:pPr>
        <w:widowControl/>
        <w:spacing w:line="375" w:lineRule="atLeas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电化学分析法及其分类；基本概念：化学电池的组成、相界电位、液接电位、指示电极、参比电极；pH玻璃电极构造、响应机制及pH测量原理和方法，注意事项；离子选择电极Nernst方程式，电位选择性系数；电位滴定法原理和特点，确定终点的方法。</w:t>
      </w:r>
    </w:p>
    <w:p w:rsidR="00D16D64" w:rsidRDefault="00C11C3F" w:rsidP="000518C3">
      <w:pPr>
        <w:widowControl/>
        <w:spacing w:line="375" w:lineRule="atLeas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8、吸光光度法</w:t>
      </w:r>
    </w:p>
    <w:p w:rsidR="00D16D64" w:rsidRDefault="00C11C3F">
      <w:pPr>
        <w:widowControl/>
        <w:spacing w:line="375" w:lineRule="atLeas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光的特点和性质;光吸收的基本定律；引起误差的原因。比色和分光光度法及其仪器;显色反应及其影响因素。光度测量和测量条件的选择。吸光光度法测定弱酸的离解常数、络合物络合比的测定、示差分光光度法和双波长分光光度法等应用。</w:t>
      </w:r>
    </w:p>
    <w:p w:rsidR="00D16D64" w:rsidRDefault="00C11C3F" w:rsidP="000518C3">
      <w:pPr>
        <w:widowControl/>
        <w:spacing w:line="375" w:lineRule="atLeas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9、原子吸收光谱法</w:t>
      </w:r>
    </w:p>
    <w:p w:rsidR="00D16D64" w:rsidRDefault="00C11C3F">
      <w:pPr>
        <w:widowControl/>
        <w:spacing w:line="375" w:lineRule="atLeas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原子吸收光谱的基本原理，原子吸收光谱仪，原子吸收分析中的干扰效应及抑制方法，原子吸收分析的实验技术。</w:t>
      </w:r>
    </w:p>
    <w:p w:rsidR="00D16D64" w:rsidRDefault="00C11C3F" w:rsidP="000518C3">
      <w:pPr>
        <w:widowControl/>
        <w:spacing w:line="375" w:lineRule="atLeas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10、气相色谱分析法（附：高效液相色谱分析法）</w:t>
      </w:r>
    </w:p>
    <w:p w:rsidR="00D16D64" w:rsidRDefault="00C11C3F">
      <w:pPr>
        <w:widowControl/>
        <w:spacing w:line="375" w:lineRule="atLeas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气相色谱法的分类和特点及一般流程；气相色谱固定相、流动相和检测器，色谱条件的选择；定性与定量分析；毛细管气相色谱法。高效液相色谱法的主要类型；化学键合相色谱法（正相、反相键合相色谱法和反相离子对色谱法）；化学键合相的种类、性质和特点，溶剂强度和选择性；高效液相色谱中的速率理论。</w:t>
      </w:r>
    </w:p>
    <w:p w:rsidR="00D16D64" w:rsidRDefault="00C11C3F" w:rsidP="000518C3">
      <w:pPr>
        <w:widowControl/>
        <w:spacing w:line="375" w:lineRule="atLeas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11、波谱分析法简介</w:t>
      </w:r>
    </w:p>
    <w:p w:rsidR="00D16D64" w:rsidRDefault="00C11C3F">
      <w:pPr>
        <w:widowControl/>
        <w:spacing w:line="375" w:lineRule="atLeas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红外吸收光谱的产生条件；吸收峰位置及强度；特征峰与相关峰；有机化合物的典型光谱；红外光谱仪的类型；光谱解析方法的要点。核磁共振吸收条件，化学位移及影响因素，自选耦合和自旋裂分。有机质谱的基本概念。</w:t>
      </w:r>
    </w:p>
    <w:p w:rsidR="00D16D64" w:rsidRDefault="00C11C3F" w:rsidP="000518C3">
      <w:pPr>
        <w:widowControl/>
        <w:spacing w:line="375" w:lineRule="atLeas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12、分析化学中的分离与富集方法</w:t>
      </w:r>
    </w:p>
    <w:p w:rsidR="00D16D64" w:rsidRDefault="00C11C3F">
      <w:pPr>
        <w:widowControl/>
        <w:spacing w:line="375" w:lineRule="atLeas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分析化学中常用的分离方法：沉淀分离与共沉淀分离、溶剂萃取分离、离子交换分离、液相色谱分离的基本原理。萃取条件的选择及主要的萃取体系。离子交换的种类和性质以及离子交换的操作。纸色谱、薄层色谱及反向分配色谱的基本原理。</w:t>
      </w:r>
    </w:p>
    <w:p w:rsidR="00D16D64" w:rsidRDefault="00C11C3F" w:rsidP="000518C3">
      <w:pPr>
        <w:widowControl/>
        <w:spacing w:line="375" w:lineRule="atLeas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13、定量分析的一般步骤</w:t>
      </w:r>
    </w:p>
    <w:p w:rsidR="00D16D64" w:rsidRDefault="00C11C3F">
      <w:pPr>
        <w:widowControl/>
        <w:spacing w:line="375" w:lineRule="atLeas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试样采取和制备的一般步骤。</w:t>
      </w:r>
    </w:p>
    <w:p w:rsidR="00D16D64" w:rsidRDefault="00C11C3F">
      <w:pPr>
        <w:widowControl/>
        <w:numPr>
          <w:ilvl w:val="0"/>
          <w:numId w:val="2"/>
        </w:numPr>
        <w:spacing w:line="375" w:lineRule="atLeas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b/>
          <w:bCs/>
          <w:color w:val="000000"/>
          <w:kern w:val="0"/>
          <w:szCs w:val="21"/>
        </w:rPr>
        <w:lastRenderedPageBreak/>
        <w:t>药物分析</w:t>
      </w:r>
    </w:p>
    <w:p w:rsidR="00D16D64" w:rsidRDefault="00C11C3F" w:rsidP="000518C3">
      <w:pPr>
        <w:widowControl/>
        <w:spacing w:line="375" w:lineRule="atLeas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1、滴定分析的基本概念和基本计算方法；酸碱滴定、非水滴定、络合滴定、氧化还原滴定、沉淀滴定法等基本原理；滴定分析在药物分析中的应用。</w:t>
      </w:r>
    </w:p>
    <w:p w:rsidR="00D16D64" w:rsidRDefault="00C11C3F" w:rsidP="000518C3">
      <w:pPr>
        <w:widowControl/>
        <w:spacing w:line="375" w:lineRule="atLeas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2、朗伯比尔定律以及紫外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-</w:t>
      </w:r>
      <w:r>
        <w:rPr>
          <w:rFonts w:ascii="宋体" w:eastAsia="宋体" w:hAnsi="宋体" w:cs="宋体"/>
          <w:color w:val="000000"/>
          <w:kern w:val="0"/>
          <w:szCs w:val="21"/>
        </w:rPr>
        <w:t>可见分子吸收光谱法的应用；核磁共振波谱法及质谱法的基本原理及其应用。</w:t>
      </w:r>
    </w:p>
    <w:p w:rsidR="00D16D64" w:rsidRDefault="00C11C3F" w:rsidP="000518C3">
      <w:pPr>
        <w:widowControl/>
        <w:spacing w:line="375" w:lineRule="atLeas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、色谱法分离原理，色谱有关术语，色谱法基本理论，分离度，定性和定量分析方法，薄层色谱、气相色谱法和高效液相色谱的分离原理及其应用；薄层色谱分离操作过程，气相色谱仪和高效液相色谱仪结构和工作流程，色谱分离及检测条件的选择。</w:t>
      </w:r>
    </w:p>
    <w:p w:rsidR="00D16D64" w:rsidRDefault="00C11C3F" w:rsidP="000518C3">
      <w:pPr>
        <w:widowControl/>
        <w:spacing w:line="375" w:lineRule="atLeas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4、一般鉴别试验、专属鉴别试验、空白试验、灵敏度等基本概念；有机氟化物、芳香第一胺类、典型有机酸、无机酸根和无机金属盐等的鉴别原理和实验条件。</w:t>
      </w:r>
    </w:p>
    <w:p w:rsidR="00D16D64" w:rsidRDefault="00C11C3F" w:rsidP="000518C3">
      <w:pPr>
        <w:widowControl/>
        <w:spacing w:line="375" w:lineRule="atLeas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5、杂质、一般杂质、特殊杂质、杂质限量、恒重、热分析法、热重法、炽灼残渣、差热分析法、差示扫描量热法等基本概念；药物中杂质的来源；一般杂质与特殊杂质的区别；药物纯度与化学试剂纯度的区别；药物中一般杂质的检查项目；药典常用的杂质检查方法。</w:t>
      </w:r>
    </w:p>
    <w:p w:rsidR="00D16D64" w:rsidRDefault="00C11C3F" w:rsidP="000518C3">
      <w:pPr>
        <w:widowControl/>
        <w:spacing w:line="375" w:lineRule="atLeas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6、杂质限量检查的表示方法和计算方法；氯化物、硫酸盐、铁盐、重金属、砷盐、炽灼残渣、干燥失重等杂质检查原理、方法及注意点；TLC法检查特殊杂质常用的方法。</w:t>
      </w:r>
    </w:p>
    <w:p w:rsidR="00D16D64" w:rsidRDefault="00C11C3F" w:rsidP="000518C3">
      <w:pPr>
        <w:widowControl/>
        <w:spacing w:line="375" w:lineRule="atLeas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7、定量分析样品的前处理方法类型、原理及操作要点；氧瓶燃烧法与凯氏定氮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法</w:t>
      </w:r>
      <w:r>
        <w:rPr>
          <w:rFonts w:ascii="宋体" w:eastAsia="宋体" w:hAnsi="宋体" w:cs="宋体"/>
          <w:color w:val="000000"/>
          <w:kern w:val="0"/>
          <w:szCs w:val="21"/>
        </w:rPr>
        <w:t>的原理、仪器及操作要点；</w:t>
      </w:r>
    </w:p>
    <w:p w:rsidR="00D16D64" w:rsidRDefault="00C11C3F" w:rsidP="000518C3">
      <w:pPr>
        <w:widowControl/>
        <w:spacing w:line="375" w:lineRule="atLeas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8、熟悉芳酸类非甾体抗炎药物、苯乙胺类拟肾上腺素药物、对氨基苯甲酸酯和酰苯胺类局麻药物、二氢吡啶类钙通道阻滞药物、巴比妥及苯二氮䓬类镇静催眠药物、吩噻嗪类抗精神病药物、喹啉与青蒿素类抗疟药物、莨菪烷类抗胆碱药物、维生素类药物、甾体激素类药物、抗生素类药物、合成抗菌药物的分析。</w:t>
      </w:r>
    </w:p>
    <w:p w:rsidR="00D16D64" w:rsidRDefault="00C11C3F" w:rsidP="000518C3">
      <w:pPr>
        <w:widowControl/>
        <w:spacing w:line="375" w:lineRule="atLeas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9</w:t>
      </w:r>
      <w:r>
        <w:rPr>
          <w:rFonts w:ascii="宋体" w:eastAsia="宋体" w:hAnsi="宋体" w:cs="宋体"/>
          <w:color w:val="000000"/>
          <w:kern w:val="0"/>
          <w:szCs w:val="21"/>
        </w:rPr>
        <w:t>、</w:t>
      </w:r>
      <w:r>
        <w:rPr>
          <w:rFonts w:ascii="宋体" w:eastAsia="宋体" w:hAnsi="宋体" w:cs="宋体" w:hint="eastAsia"/>
          <w:kern w:val="0"/>
          <w:szCs w:val="21"/>
        </w:rPr>
        <w:t>掌握药物制剂分析概论；</w:t>
      </w:r>
      <w:r>
        <w:rPr>
          <w:rFonts w:ascii="宋体" w:eastAsia="宋体" w:hAnsi="宋体" w:cs="宋体"/>
          <w:color w:val="000000"/>
          <w:kern w:val="0"/>
          <w:szCs w:val="21"/>
        </w:rPr>
        <w:t>药物制剂分析的特点；片剂和注射剂分析的常规检查项目、含量均匀度、溶出度、释放度的测定方法；常用附加剂对有效成分含量测定的干扰及其排除方法；制剂含量测定结果的表示方法与计算方法。</w:t>
      </w:r>
    </w:p>
    <w:p w:rsidR="00D16D64" w:rsidRDefault="00C11C3F" w:rsidP="000518C3">
      <w:pPr>
        <w:widowControl/>
        <w:spacing w:line="375" w:lineRule="atLeas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10</w:t>
      </w:r>
      <w:r>
        <w:rPr>
          <w:rFonts w:ascii="宋体" w:eastAsia="宋体" w:hAnsi="宋体" w:cs="宋体"/>
          <w:color w:val="000000"/>
          <w:kern w:val="0"/>
          <w:szCs w:val="21"/>
        </w:rPr>
        <w:t>、中药制剂分析的特点及基本程序；中药制剂常用的样品制备方法和分离提纯方法；中药制剂常用的理化鉴别方法、杂质检查项目及含量测定方法；中药指纹图谱技术。</w:t>
      </w:r>
    </w:p>
    <w:p w:rsidR="00D16D64" w:rsidRDefault="00C11C3F" w:rsidP="000518C3">
      <w:pPr>
        <w:widowControl/>
        <w:spacing w:line="375" w:lineRule="atLeas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/>
          <w:color w:val="000000"/>
          <w:kern w:val="0"/>
          <w:szCs w:val="21"/>
        </w:rPr>
        <w:t>、药品质量标准的分类，制订的目的、意义及原则；药品质量标准的主要内容及要点。</w:t>
      </w:r>
    </w:p>
    <w:p w:rsidR="00D16D64" w:rsidRDefault="00D16D64">
      <w:pPr>
        <w:widowControl/>
        <w:spacing w:line="375" w:lineRule="atLeast"/>
        <w:rPr>
          <w:rFonts w:ascii="宋体" w:eastAsia="宋体" w:hAnsi="宋体" w:cs="宋体"/>
          <w:color w:val="000000"/>
          <w:kern w:val="0"/>
          <w:szCs w:val="21"/>
        </w:rPr>
      </w:pPr>
    </w:p>
    <w:p w:rsidR="00D16D64" w:rsidRDefault="00D16D64">
      <w:pPr>
        <w:widowControl/>
        <w:spacing w:line="375" w:lineRule="atLeast"/>
        <w:rPr>
          <w:rFonts w:ascii="宋体" w:eastAsia="宋体" w:hAnsi="宋体" w:cs="宋体"/>
          <w:color w:val="000000"/>
          <w:kern w:val="0"/>
          <w:szCs w:val="21"/>
        </w:rPr>
      </w:pPr>
    </w:p>
    <w:p w:rsidR="00D16D64" w:rsidRDefault="00C11C3F">
      <w:pPr>
        <w:widowControl/>
        <w:spacing w:line="375" w:lineRule="atLeas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参考书目：</w:t>
      </w:r>
    </w:p>
    <w:p w:rsidR="00D16D64" w:rsidRDefault="00C11C3F">
      <w:pPr>
        <w:pStyle w:val="a7"/>
        <w:widowControl/>
        <w:numPr>
          <w:ilvl w:val="0"/>
          <w:numId w:val="3"/>
        </w:numPr>
        <w:spacing w:line="375" w:lineRule="atLeast"/>
        <w:ind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有机化学：《基础有机化学》，邢其毅，北京大学出版社， 2017，第四版。</w:t>
      </w:r>
    </w:p>
    <w:p w:rsidR="00D16D64" w:rsidRDefault="00C11C3F">
      <w:pPr>
        <w:pStyle w:val="a7"/>
        <w:widowControl/>
        <w:numPr>
          <w:ilvl w:val="0"/>
          <w:numId w:val="3"/>
        </w:numPr>
        <w:spacing w:line="375" w:lineRule="atLeast"/>
        <w:ind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分析化学《分析化学》，柴逸峰，邸欣，人民卫生出版社，2016，第八版。</w:t>
      </w:r>
    </w:p>
    <w:p w:rsidR="00D16D64" w:rsidRDefault="00C11C3F">
      <w:pPr>
        <w:pStyle w:val="a7"/>
        <w:widowControl/>
        <w:numPr>
          <w:ilvl w:val="0"/>
          <w:numId w:val="3"/>
        </w:numPr>
        <w:spacing w:line="375" w:lineRule="atLeast"/>
        <w:ind w:firstLineChars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药物分析：《药物分析》，杭太俊，人民卫生出版社，2016，第八版。</w:t>
      </w:r>
    </w:p>
    <w:sectPr w:rsidR="00D16D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B7E" w:rsidRDefault="002C3B7E" w:rsidP="00B6675B">
      <w:r>
        <w:separator/>
      </w:r>
    </w:p>
  </w:endnote>
  <w:endnote w:type="continuationSeparator" w:id="0">
    <w:p w:rsidR="002C3B7E" w:rsidRDefault="002C3B7E" w:rsidP="00B66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.....">
    <w:altName w:val="Malgun Gothic Semilight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.....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B7E" w:rsidRDefault="002C3B7E" w:rsidP="00B6675B">
      <w:r>
        <w:separator/>
      </w:r>
    </w:p>
  </w:footnote>
  <w:footnote w:type="continuationSeparator" w:id="0">
    <w:p w:rsidR="002C3B7E" w:rsidRDefault="002C3B7E" w:rsidP="00B667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D8D9061"/>
    <w:multiLevelType w:val="singleLevel"/>
    <w:tmpl w:val="FD8D9061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23A51851"/>
    <w:multiLevelType w:val="multilevel"/>
    <w:tmpl w:val="23A51851"/>
    <w:lvl w:ilvl="0">
      <w:start w:val="1"/>
      <w:numFmt w:val="decimal"/>
      <w:lvlText w:val="%1、"/>
      <w:lvlJc w:val="left"/>
      <w:pPr>
        <w:ind w:left="320" w:hanging="3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E4DD2F8"/>
    <w:multiLevelType w:val="singleLevel"/>
    <w:tmpl w:val="3E4DD2F8"/>
    <w:lvl w:ilvl="0">
      <w:start w:val="15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NiZmU1ODliZWEwNTU3Njc1NDk5MGQ0YTFiNTlkZWUifQ=="/>
  </w:docVars>
  <w:rsids>
    <w:rsidRoot w:val="00CC478C"/>
    <w:rsid w:val="00006100"/>
    <w:rsid w:val="00025C40"/>
    <w:rsid w:val="000518C3"/>
    <w:rsid w:val="00066F5E"/>
    <w:rsid w:val="00086DD0"/>
    <w:rsid w:val="000A795D"/>
    <w:rsid w:val="000D50AE"/>
    <w:rsid w:val="00121E1D"/>
    <w:rsid w:val="00170B4A"/>
    <w:rsid w:val="001D0A26"/>
    <w:rsid w:val="002132B4"/>
    <w:rsid w:val="00234411"/>
    <w:rsid w:val="00270B34"/>
    <w:rsid w:val="002B23BA"/>
    <w:rsid w:val="002B3736"/>
    <w:rsid w:val="002C3B7E"/>
    <w:rsid w:val="002F3553"/>
    <w:rsid w:val="0035786D"/>
    <w:rsid w:val="003832E5"/>
    <w:rsid w:val="003E1D13"/>
    <w:rsid w:val="005E51E6"/>
    <w:rsid w:val="00650DC9"/>
    <w:rsid w:val="006557A8"/>
    <w:rsid w:val="006A01FE"/>
    <w:rsid w:val="006C0AEC"/>
    <w:rsid w:val="00715675"/>
    <w:rsid w:val="00742240"/>
    <w:rsid w:val="007708B7"/>
    <w:rsid w:val="007C4A25"/>
    <w:rsid w:val="00855552"/>
    <w:rsid w:val="00863950"/>
    <w:rsid w:val="008F7B05"/>
    <w:rsid w:val="009728F7"/>
    <w:rsid w:val="00972AE8"/>
    <w:rsid w:val="009A355B"/>
    <w:rsid w:val="009C74C1"/>
    <w:rsid w:val="009E4528"/>
    <w:rsid w:val="009E6081"/>
    <w:rsid w:val="009F74C7"/>
    <w:rsid w:val="00A5108B"/>
    <w:rsid w:val="00AF55C2"/>
    <w:rsid w:val="00AF58D4"/>
    <w:rsid w:val="00B207F7"/>
    <w:rsid w:val="00B6675B"/>
    <w:rsid w:val="00B70A57"/>
    <w:rsid w:val="00C03FFD"/>
    <w:rsid w:val="00C11C3F"/>
    <w:rsid w:val="00C41A82"/>
    <w:rsid w:val="00C9480C"/>
    <w:rsid w:val="00CB6BF8"/>
    <w:rsid w:val="00CC478C"/>
    <w:rsid w:val="00D16D64"/>
    <w:rsid w:val="00D83BC8"/>
    <w:rsid w:val="00DB5639"/>
    <w:rsid w:val="00DF2202"/>
    <w:rsid w:val="00E22D06"/>
    <w:rsid w:val="00E32C69"/>
    <w:rsid w:val="00E97D1D"/>
    <w:rsid w:val="00F224F0"/>
    <w:rsid w:val="00F70FEB"/>
    <w:rsid w:val="00F7654F"/>
    <w:rsid w:val="00F82FF7"/>
    <w:rsid w:val="00FA215A"/>
    <w:rsid w:val="00FB533D"/>
    <w:rsid w:val="16112A58"/>
    <w:rsid w:val="2EF76587"/>
    <w:rsid w:val="4EB276C3"/>
    <w:rsid w:val="5734747C"/>
    <w:rsid w:val="6A851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4A808E"/>
  <w15:docId w15:val="{1FC60789-F4F4-4520-82C8-876B631E9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paragraph" w:customStyle="1" w:styleId="Default">
    <w:name w:val="Default"/>
    <w:rsid w:val="00650DC9"/>
    <w:pPr>
      <w:widowControl w:val="0"/>
      <w:autoSpaceDE w:val="0"/>
      <w:autoSpaceDN w:val="0"/>
      <w:adjustRightInd w:val="0"/>
    </w:pPr>
    <w:rPr>
      <w:rFonts w:ascii="黑体....." w:eastAsia="黑体....." w:hAnsiTheme="minorHAnsi" w:cs="黑体....."/>
      <w:color w:val="000000"/>
      <w:sz w:val="24"/>
      <w:szCs w:val="24"/>
    </w:rPr>
  </w:style>
  <w:style w:type="paragraph" w:styleId="a8">
    <w:name w:val="Body Text"/>
    <w:basedOn w:val="a"/>
    <w:link w:val="a9"/>
    <w:uiPriority w:val="1"/>
    <w:qFormat/>
    <w:rsid w:val="000518C3"/>
    <w:pPr>
      <w:autoSpaceDE w:val="0"/>
      <w:autoSpaceDN w:val="0"/>
      <w:adjustRightInd w:val="0"/>
      <w:spacing w:before="135"/>
      <w:ind w:left="118"/>
      <w:jc w:val="left"/>
    </w:pPr>
    <w:rPr>
      <w:rFonts w:ascii="宋体" w:eastAsia="宋体" w:hAnsi="Times New Roman" w:cs="宋体"/>
      <w:kern w:val="0"/>
      <w:sz w:val="24"/>
      <w:szCs w:val="24"/>
    </w:rPr>
  </w:style>
  <w:style w:type="character" w:customStyle="1" w:styleId="a9">
    <w:name w:val="正文文本 字符"/>
    <w:basedOn w:val="a0"/>
    <w:link w:val="a8"/>
    <w:uiPriority w:val="1"/>
    <w:rsid w:val="000518C3"/>
    <w:rPr>
      <w:rFonts w:asci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565</Words>
  <Characters>3221</Characters>
  <Application>Microsoft Office Word</Application>
  <DocSecurity>0</DocSecurity>
  <Lines>26</Lines>
  <Paragraphs>7</Paragraphs>
  <ScaleCrop>false</ScaleCrop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李群</cp:lastModifiedBy>
  <cp:revision>10</cp:revision>
  <cp:lastPrinted>2021-09-16T12:14:00Z</cp:lastPrinted>
  <dcterms:created xsi:type="dcterms:W3CDTF">2021-09-16T12:33:00Z</dcterms:created>
  <dcterms:modified xsi:type="dcterms:W3CDTF">2023-09-07T01:42:00Z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450C6EBC70BE410D91A57A925CE59D94</vt:lpwstr>
  </property>
</Properties>
</file>